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BC9" w:rsidRDefault="00434BC9" w:rsidP="001B03C5">
      <w:pPr>
        <w:spacing w:after="0" w:line="480" w:lineRule="auto"/>
        <w:jc w:val="center"/>
        <w:rPr>
          <w:rFonts w:ascii="Times New Roman" w:hAnsi="Times New Roman" w:cs="Times New Roman"/>
          <w:b/>
          <w:sz w:val="24"/>
          <w:szCs w:val="24"/>
        </w:rPr>
      </w:pPr>
    </w:p>
    <w:p w:rsidR="00434BC9" w:rsidRDefault="00434BC9" w:rsidP="001B03C5">
      <w:pPr>
        <w:spacing w:after="0" w:line="480" w:lineRule="auto"/>
        <w:jc w:val="center"/>
        <w:rPr>
          <w:rFonts w:ascii="Times New Roman" w:hAnsi="Times New Roman" w:cs="Times New Roman"/>
          <w:b/>
          <w:sz w:val="24"/>
          <w:szCs w:val="24"/>
        </w:rPr>
      </w:pPr>
    </w:p>
    <w:p w:rsidR="00434BC9" w:rsidRDefault="00434BC9" w:rsidP="001B03C5">
      <w:pPr>
        <w:spacing w:after="0" w:line="480" w:lineRule="auto"/>
        <w:jc w:val="center"/>
        <w:rPr>
          <w:rFonts w:ascii="Times New Roman" w:hAnsi="Times New Roman" w:cs="Times New Roman"/>
          <w:b/>
          <w:sz w:val="24"/>
          <w:szCs w:val="24"/>
        </w:rPr>
      </w:pPr>
    </w:p>
    <w:p w:rsidR="00434BC9" w:rsidRDefault="00434BC9" w:rsidP="001B03C5">
      <w:pPr>
        <w:spacing w:after="0" w:line="480" w:lineRule="auto"/>
        <w:jc w:val="center"/>
        <w:rPr>
          <w:rFonts w:ascii="Times New Roman" w:hAnsi="Times New Roman" w:cs="Times New Roman"/>
          <w:b/>
          <w:sz w:val="24"/>
          <w:szCs w:val="24"/>
        </w:rPr>
      </w:pPr>
    </w:p>
    <w:p w:rsidR="00434BC9" w:rsidRPr="00434BC9" w:rsidRDefault="00434BC9" w:rsidP="001B03C5">
      <w:pPr>
        <w:spacing w:after="0" w:line="480" w:lineRule="auto"/>
        <w:jc w:val="center"/>
        <w:rPr>
          <w:rFonts w:ascii="Times New Roman" w:hAnsi="Times New Roman" w:cs="Times New Roman"/>
          <w:sz w:val="24"/>
          <w:szCs w:val="24"/>
        </w:rPr>
      </w:pPr>
      <w:r w:rsidRPr="00434BC9">
        <w:rPr>
          <w:rFonts w:ascii="Times New Roman" w:hAnsi="Times New Roman" w:cs="Times New Roman"/>
          <w:sz w:val="24"/>
          <w:szCs w:val="24"/>
        </w:rPr>
        <w:t>Risk Tolerance</w:t>
      </w:r>
    </w:p>
    <w:p w:rsidR="00434BC9" w:rsidRPr="00434BC9" w:rsidRDefault="00434BC9" w:rsidP="001B03C5">
      <w:pPr>
        <w:spacing w:after="0" w:line="480" w:lineRule="auto"/>
        <w:jc w:val="center"/>
        <w:rPr>
          <w:rFonts w:ascii="Times New Roman" w:hAnsi="Times New Roman" w:cs="Times New Roman"/>
          <w:sz w:val="24"/>
          <w:szCs w:val="24"/>
        </w:rPr>
      </w:pPr>
      <w:r w:rsidRPr="00434BC9">
        <w:rPr>
          <w:rFonts w:ascii="Times New Roman" w:hAnsi="Times New Roman" w:cs="Times New Roman"/>
          <w:sz w:val="24"/>
          <w:szCs w:val="24"/>
        </w:rPr>
        <w:t>Student Name:</w:t>
      </w:r>
    </w:p>
    <w:p w:rsidR="00434BC9" w:rsidRPr="00434BC9" w:rsidRDefault="00434BC9" w:rsidP="001B03C5">
      <w:pPr>
        <w:spacing w:after="0" w:line="480" w:lineRule="auto"/>
        <w:jc w:val="center"/>
        <w:rPr>
          <w:rFonts w:ascii="Times New Roman" w:hAnsi="Times New Roman" w:cs="Times New Roman"/>
          <w:sz w:val="24"/>
          <w:szCs w:val="24"/>
        </w:rPr>
      </w:pPr>
      <w:r w:rsidRPr="00434BC9">
        <w:rPr>
          <w:rFonts w:ascii="Times New Roman" w:hAnsi="Times New Roman" w:cs="Times New Roman"/>
          <w:sz w:val="24"/>
          <w:szCs w:val="24"/>
        </w:rPr>
        <w:t xml:space="preserve">University Affiliation: </w:t>
      </w:r>
    </w:p>
    <w:p w:rsidR="00434BC9" w:rsidRDefault="00434BC9" w:rsidP="001B03C5">
      <w:pPr>
        <w:spacing w:after="0" w:line="480" w:lineRule="auto"/>
        <w:jc w:val="center"/>
        <w:rPr>
          <w:rFonts w:ascii="Times New Roman" w:hAnsi="Times New Roman" w:cs="Times New Roman"/>
          <w:b/>
          <w:sz w:val="24"/>
          <w:szCs w:val="24"/>
        </w:rPr>
      </w:pPr>
    </w:p>
    <w:p w:rsidR="00434BC9" w:rsidRDefault="00434BC9" w:rsidP="001B03C5">
      <w:pPr>
        <w:spacing w:after="0" w:line="480" w:lineRule="auto"/>
        <w:jc w:val="center"/>
        <w:rPr>
          <w:rFonts w:ascii="Times New Roman" w:hAnsi="Times New Roman" w:cs="Times New Roman"/>
          <w:b/>
          <w:sz w:val="24"/>
          <w:szCs w:val="24"/>
        </w:rPr>
      </w:pPr>
    </w:p>
    <w:p w:rsidR="00434BC9" w:rsidRDefault="00434BC9" w:rsidP="001B03C5">
      <w:pPr>
        <w:spacing w:after="0" w:line="480" w:lineRule="auto"/>
        <w:jc w:val="center"/>
        <w:rPr>
          <w:rFonts w:ascii="Times New Roman" w:hAnsi="Times New Roman" w:cs="Times New Roman"/>
          <w:b/>
          <w:sz w:val="24"/>
          <w:szCs w:val="24"/>
        </w:rPr>
      </w:pPr>
    </w:p>
    <w:p w:rsidR="00434BC9" w:rsidRDefault="00434BC9" w:rsidP="001B03C5">
      <w:pPr>
        <w:spacing w:after="0" w:line="480" w:lineRule="auto"/>
        <w:jc w:val="center"/>
        <w:rPr>
          <w:rFonts w:ascii="Times New Roman" w:hAnsi="Times New Roman" w:cs="Times New Roman"/>
          <w:b/>
          <w:sz w:val="24"/>
          <w:szCs w:val="24"/>
        </w:rPr>
      </w:pPr>
    </w:p>
    <w:p w:rsidR="00434BC9" w:rsidRDefault="00434BC9" w:rsidP="001B03C5">
      <w:pPr>
        <w:spacing w:after="0" w:line="480" w:lineRule="auto"/>
        <w:jc w:val="center"/>
        <w:rPr>
          <w:rFonts w:ascii="Times New Roman" w:hAnsi="Times New Roman" w:cs="Times New Roman"/>
          <w:b/>
          <w:sz w:val="24"/>
          <w:szCs w:val="24"/>
        </w:rPr>
      </w:pPr>
    </w:p>
    <w:p w:rsidR="00434BC9" w:rsidRDefault="00434BC9">
      <w:pPr>
        <w:rPr>
          <w:rFonts w:ascii="Times New Roman" w:hAnsi="Times New Roman" w:cs="Times New Roman"/>
          <w:b/>
          <w:sz w:val="24"/>
          <w:szCs w:val="24"/>
        </w:rPr>
      </w:pPr>
      <w:r>
        <w:rPr>
          <w:rFonts w:ascii="Times New Roman" w:hAnsi="Times New Roman" w:cs="Times New Roman"/>
          <w:b/>
          <w:sz w:val="24"/>
          <w:szCs w:val="24"/>
        </w:rPr>
        <w:br w:type="page"/>
      </w:r>
    </w:p>
    <w:p w:rsidR="008F24E4" w:rsidRPr="001B03C5" w:rsidRDefault="009A63E1" w:rsidP="001B03C5">
      <w:pPr>
        <w:spacing w:after="0" w:line="480" w:lineRule="auto"/>
        <w:jc w:val="center"/>
        <w:rPr>
          <w:rFonts w:ascii="Times New Roman" w:hAnsi="Times New Roman" w:cs="Times New Roman"/>
          <w:b/>
          <w:sz w:val="24"/>
          <w:szCs w:val="24"/>
        </w:rPr>
      </w:pPr>
      <w:r w:rsidRPr="001B03C5">
        <w:rPr>
          <w:rFonts w:ascii="Times New Roman" w:hAnsi="Times New Roman" w:cs="Times New Roman"/>
          <w:b/>
          <w:sz w:val="24"/>
          <w:szCs w:val="24"/>
        </w:rPr>
        <w:lastRenderedPageBreak/>
        <w:t>Risk Tolerance</w:t>
      </w:r>
    </w:p>
    <w:p w:rsidR="000F0A68" w:rsidRPr="000F0A68" w:rsidRDefault="000F0A68" w:rsidP="00434BC9">
      <w:pPr>
        <w:spacing w:after="0" w:line="480" w:lineRule="auto"/>
        <w:ind w:firstLine="567"/>
        <w:rPr>
          <w:rFonts w:ascii="Times New Roman" w:hAnsi="Times New Roman" w:cs="Times New Roman"/>
          <w:sz w:val="24"/>
          <w:szCs w:val="24"/>
        </w:rPr>
      </w:pPr>
      <w:r w:rsidRPr="000F0A68">
        <w:rPr>
          <w:rFonts w:ascii="Times New Roman" w:hAnsi="Times New Roman" w:cs="Times New Roman"/>
          <w:sz w:val="24"/>
          <w:szCs w:val="24"/>
        </w:rPr>
        <w:t>Risk tolerance is related to culture. In countries where uncertainty avoidance is relatively high, the aspect of risk tolerance tends to be relatively low. Conversely, in countries that are relatively harmonious and egalitarian, risk tolerance is relatively low. Also, in countries where the trust level is relatively high, risk tolerance is relatively high. In the case of negotiations, there are various risks implicated. Distinguishing and identifying the risks, mainly in negotiations with other cultures, various variables can be used to ensure one is tolerant of these risks (</w:t>
      </w:r>
      <w:proofErr w:type="spellStart"/>
      <w:r w:rsidRPr="000F0A68">
        <w:rPr>
          <w:rFonts w:ascii="Times New Roman" w:hAnsi="Times New Roman" w:cs="Times New Roman"/>
          <w:sz w:val="24"/>
          <w:szCs w:val="24"/>
        </w:rPr>
        <w:t>Kwak</w:t>
      </w:r>
      <w:proofErr w:type="spellEnd"/>
      <w:r w:rsidRPr="000F0A68">
        <w:rPr>
          <w:rFonts w:ascii="Times New Roman" w:hAnsi="Times New Roman" w:cs="Times New Roman"/>
          <w:sz w:val="24"/>
          <w:szCs w:val="24"/>
        </w:rPr>
        <w:t xml:space="preserve"> &amp; </w:t>
      </w:r>
      <w:proofErr w:type="spellStart"/>
      <w:r w:rsidRPr="000F0A68">
        <w:rPr>
          <w:rFonts w:ascii="Times New Roman" w:hAnsi="Times New Roman" w:cs="Times New Roman"/>
          <w:sz w:val="24"/>
          <w:szCs w:val="24"/>
        </w:rPr>
        <w:t>LaPlace</w:t>
      </w:r>
      <w:proofErr w:type="spellEnd"/>
      <w:r w:rsidRPr="000F0A68">
        <w:rPr>
          <w:rFonts w:ascii="Times New Roman" w:hAnsi="Times New Roman" w:cs="Times New Roman"/>
          <w:sz w:val="24"/>
          <w:szCs w:val="24"/>
        </w:rPr>
        <w:t>, 2005). According to my understanding, risk tolerance entails the understanding of probable changes in the negotiation process. One crucial variable related to risk tolerance entails the means used to reach efficient decisions. In such a case, when parties involved in negotiation agree on the technique or means, the risks associated with changes are reduced (</w:t>
      </w:r>
      <w:proofErr w:type="spellStart"/>
      <w:r w:rsidRPr="000F0A68">
        <w:rPr>
          <w:rFonts w:ascii="Times New Roman" w:hAnsi="Times New Roman" w:cs="Times New Roman"/>
          <w:sz w:val="24"/>
          <w:szCs w:val="24"/>
        </w:rPr>
        <w:t>Statman</w:t>
      </w:r>
      <w:proofErr w:type="spellEnd"/>
      <w:r w:rsidRPr="000F0A68">
        <w:rPr>
          <w:rFonts w:ascii="Times New Roman" w:hAnsi="Times New Roman" w:cs="Times New Roman"/>
          <w:sz w:val="24"/>
          <w:szCs w:val="24"/>
        </w:rPr>
        <w:t xml:space="preserve">, 2010).  </w:t>
      </w:r>
    </w:p>
    <w:p w:rsidR="00276814" w:rsidRDefault="000F0A68" w:rsidP="00434BC9">
      <w:pPr>
        <w:spacing w:after="0" w:line="480" w:lineRule="auto"/>
        <w:ind w:firstLine="567"/>
        <w:rPr>
          <w:rFonts w:ascii="Times New Roman" w:hAnsi="Times New Roman" w:cs="Times New Roman"/>
          <w:sz w:val="24"/>
          <w:szCs w:val="24"/>
        </w:rPr>
      </w:pPr>
      <w:r w:rsidRPr="000F0A68">
        <w:rPr>
          <w:rFonts w:ascii="Times New Roman" w:hAnsi="Times New Roman" w:cs="Times New Roman"/>
          <w:sz w:val="24"/>
          <w:szCs w:val="24"/>
        </w:rPr>
        <w:t>Moreover, there are essential variables that are related to the external and internal locus of control. In particular, one of the variables focused on internal locus of control relates to the composition or structure of the negotiation groups. Being a dedicated businessperson, I need to have the capacity of preparing and solidifying the team. As a result, the negotiation will be considered internally comprehensive (</w:t>
      </w:r>
      <w:proofErr w:type="spellStart"/>
      <w:r w:rsidRPr="000F0A68">
        <w:rPr>
          <w:rFonts w:ascii="Times New Roman" w:hAnsi="Times New Roman" w:cs="Times New Roman"/>
          <w:sz w:val="24"/>
          <w:szCs w:val="24"/>
        </w:rPr>
        <w:t>Statman</w:t>
      </w:r>
      <w:proofErr w:type="spellEnd"/>
      <w:r w:rsidRPr="000F0A68">
        <w:rPr>
          <w:rFonts w:ascii="Times New Roman" w:hAnsi="Times New Roman" w:cs="Times New Roman"/>
          <w:sz w:val="24"/>
          <w:szCs w:val="24"/>
        </w:rPr>
        <w:t>, 2010). In a situation where the negotiation process is internally managed, the risks associated with the external factors that alter the negotiation are decreased. On the other hand, one crucial variable related to the external locus of control is the ground of trust. As argued, trust is a factor that is more crucial when it comes to negotiation. Individuals identified with the internal locus of control can take more responsibilities for all their deeds, whether the actions or results are excellent or ineffective. Also, individuals identified with an external locus of control consider everything as success or failure (</w:t>
      </w:r>
      <w:proofErr w:type="spellStart"/>
      <w:r w:rsidRPr="000F0A68">
        <w:rPr>
          <w:rFonts w:ascii="Times New Roman" w:hAnsi="Times New Roman" w:cs="Times New Roman"/>
          <w:sz w:val="24"/>
          <w:szCs w:val="24"/>
        </w:rPr>
        <w:t>Kwak</w:t>
      </w:r>
      <w:proofErr w:type="spellEnd"/>
      <w:r w:rsidRPr="000F0A68">
        <w:rPr>
          <w:rFonts w:ascii="Times New Roman" w:hAnsi="Times New Roman" w:cs="Times New Roman"/>
          <w:sz w:val="24"/>
          <w:szCs w:val="24"/>
        </w:rPr>
        <w:t xml:space="preserve"> &amp; </w:t>
      </w:r>
      <w:proofErr w:type="spellStart"/>
      <w:r w:rsidRPr="000F0A68">
        <w:rPr>
          <w:rFonts w:ascii="Times New Roman" w:hAnsi="Times New Roman" w:cs="Times New Roman"/>
          <w:sz w:val="24"/>
          <w:szCs w:val="24"/>
        </w:rPr>
        <w:t>LaPlace</w:t>
      </w:r>
      <w:proofErr w:type="spellEnd"/>
      <w:r w:rsidRPr="000F0A68">
        <w:rPr>
          <w:rFonts w:ascii="Times New Roman" w:hAnsi="Times New Roman" w:cs="Times New Roman"/>
          <w:sz w:val="24"/>
          <w:szCs w:val="24"/>
        </w:rPr>
        <w:t xml:space="preserve">, 2005).   </w:t>
      </w:r>
    </w:p>
    <w:p w:rsidR="00434BC9" w:rsidRDefault="00434BC9" w:rsidP="001B03C5">
      <w:pPr>
        <w:spacing w:after="0" w:line="480" w:lineRule="auto"/>
        <w:rPr>
          <w:rFonts w:ascii="Times New Roman" w:hAnsi="Times New Roman" w:cs="Times New Roman"/>
          <w:sz w:val="24"/>
          <w:szCs w:val="24"/>
        </w:rPr>
      </w:pPr>
    </w:p>
    <w:p w:rsidR="00276814" w:rsidRDefault="00276814" w:rsidP="00434B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76814" w:rsidRDefault="00276814" w:rsidP="00434BC9">
      <w:pPr>
        <w:spacing w:after="0" w:line="480" w:lineRule="auto"/>
        <w:ind w:left="567" w:hanging="567"/>
        <w:rPr>
          <w:rFonts w:ascii="Times New Roman" w:hAnsi="Times New Roman" w:cs="Times New Roman"/>
          <w:sz w:val="24"/>
          <w:szCs w:val="24"/>
        </w:rPr>
      </w:pPr>
      <w:proofErr w:type="spellStart"/>
      <w:r w:rsidRPr="00276814">
        <w:rPr>
          <w:rFonts w:ascii="Times New Roman" w:hAnsi="Times New Roman" w:cs="Times New Roman"/>
          <w:sz w:val="24"/>
          <w:szCs w:val="24"/>
        </w:rPr>
        <w:t>Kwak</w:t>
      </w:r>
      <w:proofErr w:type="spellEnd"/>
      <w:r w:rsidRPr="00276814">
        <w:rPr>
          <w:rFonts w:ascii="Times New Roman" w:hAnsi="Times New Roman" w:cs="Times New Roman"/>
          <w:sz w:val="24"/>
          <w:szCs w:val="24"/>
        </w:rPr>
        <w:t xml:space="preserve">, Y. H., &amp; </w:t>
      </w:r>
      <w:proofErr w:type="spellStart"/>
      <w:r w:rsidRPr="00276814">
        <w:rPr>
          <w:rFonts w:ascii="Times New Roman" w:hAnsi="Times New Roman" w:cs="Times New Roman"/>
          <w:sz w:val="24"/>
          <w:szCs w:val="24"/>
        </w:rPr>
        <w:t>LaPlace</w:t>
      </w:r>
      <w:proofErr w:type="spellEnd"/>
      <w:r w:rsidRPr="00276814">
        <w:rPr>
          <w:rFonts w:ascii="Times New Roman" w:hAnsi="Times New Roman" w:cs="Times New Roman"/>
          <w:sz w:val="24"/>
          <w:szCs w:val="24"/>
        </w:rPr>
        <w:t>, K. S. (2005). Examining risk tolerance in project-driven organization. </w:t>
      </w:r>
      <w:proofErr w:type="spellStart"/>
      <w:r w:rsidRPr="00276814">
        <w:rPr>
          <w:rFonts w:ascii="Times New Roman" w:hAnsi="Times New Roman" w:cs="Times New Roman"/>
          <w:i/>
          <w:iCs/>
          <w:sz w:val="24"/>
          <w:szCs w:val="24"/>
        </w:rPr>
        <w:t>Technovation</w:t>
      </w:r>
      <w:proofErr w:type="spellEnd"/>
      <w:r w:rsidRPr="00276814">
        <w:rPr>
          <w:rFonts w:ascii="Times New Roman" w:hAnsi="Times New Roman" w:cs="Times New Roman"/>
          <w:sz w:val="24"/>
          <w:szCs w:val="24"/>
        </w:rPr>
        <w:t>, </w:t>
      </w:r>
      <w:r w:rsidRPr="00276814">
        <w:rPr>
          <w:rFonts w:ascii="Times New Roman" w:hAnsi="Times New Roman" w:cs="Times New Roman"/>
          <w:i/>
          <w:iCs/>
          <w:sz w:val="24"/>
          <w:szCs w:val="24"/>
        </w:rPr>
        <w:t>25</w:t>
      </w:r>
      <w:r w:rsidRPr="00276814">
        <w:rPr>
          <w:rFonts w:ascii="Times New Roman" w:hAnsi="Times New Roman" w:cs="Times New Roman"/>
          <w:sz w:val="24"/>
          <w:szCs w:val="24"/>
        </w:rPr>
        <w:t>(6), 691-695.</w:t>
      </w:r>
      <w:bookmarkStart w:id="0" w:name="_GoBack"/>
      <w:bookmarkEnd w:id="0"/>
    </w:p>
    <w:p w:rsidR="00276814" w:rsidRPr="009A63E1" w:rsidRDefault="00276814" w:rsidP="00434BC9">
      <w:pPr>
        <w:spacing w:after="0" w:line="480" w:lineRule="auto"/>
        <w:ind w:left="567" w:hanging="567"/>
        <w:rPr>
          <w:rFonts w:ascii="Times New Roman" w:hAnsi="Times New Roman" w:cs="Times New Roman"/>
          <w:sz w:val="24"/>
          <w:szCs w:val="24"/>
        </w:rPr>
      </w:pPr>
      <w:proofErr w:type="spellStart"/>
      <w:r w:rsidRPr="00276814">
        <w:rPr>
          <w:rFonts w:ascii="Times New Roman" w:hAnsi="Times New Roman" w:cs="Times New Roman"/>
          <w:sz w:val="24"/>
          <w:szCs w:val="24"/>
        </w:rPr>
        <w:t>Statman</w:t>
      </w:r>
      <w:proofErr w:type="spellEnd"/>
      <w:r w:rsidRPr="00276814">
        <w:rPr>
          <w:rFonts w:ascii="Times New Roman" w:hAnsi="Times New Roman" w:cs="Times New Roman"/>
          <w:sz w:val="24"/>
          <w:szCs w:val="24"/>
        </w:rPr>
        <w:t>, M. (2010). The cultures of risk tolerance. </w:t>
      </w:r>
      <w:r w:rsidRPr="00276814">
        <w:rPr>
          <w:rFonts w:ascii="Times New Roman" w:hAnsi="Times New Roman" w:cs="Times New Roman"/>
          <w:i/>
          <w:iCs/>
          <w:sz w:val="24"/>
          <w:szCs w:val="24"/>
        </w:rPr>
        <w:t>Available at SSRN 1647086</w:t>
      </w:r>
      <w:r w:rsidRPr="00276814">
        <w:rPr>
          <w:rFonts w:ascii="Times New Roman" w:hAnsi="Times New Roman" w:cs="Times New Roman"/>
          <w:sz w:val="24"/>
          <w:szCs w:val="24"/>
        </w:rPr>
        <w:t>.</w:t>
      </w:r>
    </w:p>
    <w:sectPr w:rsidR="00276814" w:rsidRPr="009A63E1" w:rsidSect="00434BC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4673" w:rsidRDefault="00C34673" w:rsidP="00434BC9">
      <w:pPr>
        <w:spacing w:after="0" w:line="240" w:lineRule="auto"/>
      </w:pPr>
      <w:r>
        <w:separator/>
      </w:r>
    </w:p>
  </w:endnote>
  <w:endnote w:type="continuationSeparator" w:id="0">
    <w:p w:rsidR="00C34673" w:rsidRDefault="00C34673" w:rsidP="00434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4673" w:rsidRDefault="00C34673" w:rsidP="00434BC9">
      <w:pPr>
        <w:spacing w:after="0" w:line="240" w:lineRule="auto"/>
      </w:pPr>
      <w:r>
        <w:separator/>
      </w:r>
    </w:p>
  </w:footnote>
  <w:footnote w:type="continuationSeparator" w:id="0">
    <w:p w:rsidR="00C34673" w:rsidRDefault="00C34673" w:rsidP="00434B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9220944"/>
      <w:docPartObj>
        <w:docPartGallery w:val="Page Numbers (Top of Page)"/>
        <w:docPartUnique/>
      </w:docPartObj>
    </w:sdtPr>
    <w:sdtEndPr>
      <w:rPr>
        <w:noProof/>
      </w:rPr>
    </w:sdtEndPr>
    <w:sdtContent>
      <w:p w:rsidR="00434BC9" w:rsidRPr="00434BC9" w:rsidRDefault="00434BC9" w:rsidP="00434BC9">
        <w:pPr>
          <w:pStyle w:val="Header"/>
          <w:rPr>
            <w:rFonts w:ascii="Times New Roman" w:hAnsi="Times New Roman" w:cs="Times New Roman"/>
            <w:sz w:val="24"/>
            <w:szCs w:val="24"/>
          </w:rPr>
        </w:pPr>
        <w:r w:rsidRPr="00434BC9">
          <w:rPr>
            <w:rFonts w:ascii="Times New Roman" w:hAnsi="Times New Roman" w:cs="Times New Roman"/>
            <w:sz w:val="24"/>
            <w:szCs w:val="24"/>
          </w:rPr>
          <w:t xml:space="preserve">RISK TOLERANCE </w:t>
        </w:r>
        <w:r>
          <w:rPr>
            <w:rFonts w:ascii="Times New Roman" w:hAnsi="Times New Roman" w:cs="Times New Roman"/>
            <w:sz w:val="24"/>
            <w:szCs w:val="24"/>
          </w:rPr>
          <w:tab/>
        </w:r>
        <w:r>
          <w:rPr>
            <w:rFonts w:ascii="Times New Roman" w:hAnsi="Times New Roman" w:cs="Times New Roman"/>
            <w:sz w:val="24"/>
            <w:szCs w:val="24"/>
          </w:rPr>
          <w:tab/>
        </w:r>
        <w:r w:rsidRPr="00434BC9">
          <w:rPr>
            <w:rFonts w:ascii="Times New Roman" w:hAnsi="Times New Roman" w:cs="Times New Roman"/>
            <w:sz w:val="24"/>
            <w:szCs w:val="24"/>
          </w:rPr>
          <w:fldChar w:fldCharType="begin"/>
        </w:r>
        <w:r w:rsidRPr="00434BC9">
          <w:rPr>
            <w:rFonts w:ascii="Times New Roman" w:hAnsi="Times New Roman" w:cs="Times New Roman"/>
            <w:sz w:val="24"/>
            <w:szCs w:val="24"/>
          </w:rPr>
          <w:instrText xml:space="preserve"> PAGE   \* MERGEFORMAT </w:instrText>
        </w:r>
        <w:r w:rsidRPr="00434BC9">
          <w:rPr>
            <w:rFonts w:ascii="Times New Roman" w:hAnsi="Times New Roman" w:cs="Times New Roman"/>
            <w:sz w:val="24"/>
            <w:szCs w:val="24"/>
          </w:rPr>
          <w:fldChar w:fldCharType="separate"/>
        </w:r>
        <w:r>
          <w:rPr>
            <w:rFonts w:ascii="Times New Roman" w:hAnsi="Times New Roman" w:cs="Times New Roman"/>
            <w:noProof/>
            <w:sz w:val="24"/>
            <w:szCs w:val="24"/>
          </w:rPr>
          <w:t>2</w:t>
        </w:r>
        <w:r w:rsidRPr="00434BC9">
          <w:rPr>
            <w:rFonts w:ascii="Times New Roman" w:hAnsi="Times New Roman" w:cs="Times New Roman"/>
            <w:noProof/>
            <w:sz w:val="24"/>
            <w:szCs w:val="24"/>
          </w:rPr>
          <w:fldChar w:fldCharType="end"/>
        </w:r>
      </w:p>
    </w:sdtContent>
  </w:sdt>
  <w:p w:rsidR="00434BC9" w:rsidRDefault="00434B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BC9" w:rsidRPr="00434BC9" w:rsidRDefault="00434BC9">
    <w:pPr>
      <w:pStyle w:val="Header"/>
      <w:rPr>
        <w:rFonts w:ascii="Times New Roman" w:hAnsi="Times New Roman" w:cs="Times New Roman"/>
        <w:sz w:val="24"/>
        <w:szCs w:val="24"/>
      </w:rPr>
    </w:pPr>
    <w:r w:rsidRPr="00434BC9">
      <w:rPr>
        <w:rFonts w:ascii="Times New Roman" w:hAnsi="Times New Roman" w:cs="Times New Roman"/>
        <w:sz w:val="24"/>
        <w:szCs w:val="24"/>
      </w:rPr>
      <w:t xml:space="preserve">Running head: RISK TOLERANCE </w:t>
    </w:r>
    <w:r>
      <w:rPr>
        <w:rFonts w:ascii="Times New Roman" w:hAnsi="Times New Roman" w:cs="Times New Roman"/>
        <w:sz w:val="24"/>
        <w:szCs w:val="24"/>
      </w:rPr>
      <w:tab/>
    </w:r>
    <w:r>
      <w:rPr>
        <w:rFonts w:ascii="Times New Roman" w:hAnsi="Times New Roman" w:cs="Times New Roman"/>
        <w:sz w:val="24"/>
        <w:szCs w:val="24"/>
      </w:rPr>
      <w:tab/>
    </w:r>
    <w:r w:rsidRPr="00434BC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A0"/>
    <w:rsid w:val="00085446"/>
    <w:rsid w:val="000F0A68"/>
    <w:rsid w:val="000F6B5A"/>
    <w:rsid w:val="00194977"/>
    <w:rsid w:val="001B03C5"/>
    <w:rsid w:val="00276814"/>
    <w:rsid w:val="00434BC9"/>
    <w:rsid w:val="00702A07"/>
    <w:rsid w:val="008F24E4"/>
    <w:rsid w:val="00912E83"/>
    <w:rsid w:val="009A63E1"/>
    <w:rsid w:val="00C34673"/>
    <w:rsid w:val="00D93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3A088A-552C-455A-81B3-C59B410D9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B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4BC9"/>
  </w:style>
  <w:style w:type="paragraph" w:styleId="Footer">
    <w:name w:val="footer"/>
    <w:basedOn w:val="Normal"/>
    <w:link w:val="FooterChar"/>
    <w:uiPriority w:val="99"/>
    <w:unhideWhenUsed/>
    <w:rsid w:val="00434B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4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macharia</dc:creator>
  <cp:keywords/>
  <dc:description/>
  <cp:lastModifiedBy>martin macharia</cp:lastModifiedBy>
  <cp:revision>8</cp:revision>
  <dcterms:created xsi:type="dcterms:W3CDTF">2019-10-26T00:19:00Z</dcterms:created>
  <dcterms:modified xsi:type="dcterms:W3CDTF">2019-10-26T07:02:00Z</dcterms:modified>
</cp:coreProperties>
</file>